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E9AB" w14:textId="452FC6E7" w:rsidR="009E7BF9" w:rsidRPr="004F696F" w:rsidRDefault="009E7BF9" w:rsidP="009E7BF9">
      <w:pPr>
        <w:jc w:val="center"/>
        <w:rPr>
          <w:rFonts w:ascii="Arial" w:hAnsi="Arial" w:cs="Arial"/>
        </w:rPr>
      </w:pPr>
      <w:r w:rsidRPr="004F696F">
        <w:rPr>
          <w:rFonts w:ascii="Arial" w:hAnsi="Arial" w:cs="Arial"/>
          <w:b/>
          <w:bCs/>
          <w:u w:val="single"/>
        </w:rPr>
        <w:t>Patient Advice</w:t>
      </w:r>
    </w:p>
    <w:p w14:paraId="63DAEE7B" w14:textId="77777777" w:rsidR="009E7BF9" w:rsidRPr="004F696F" w:rsidRDefault="009E7BF9" w:rsidP="009E7BF9">
      <w:pPr>
        <w:jc w:val="center"/>
        <w:rPr>
          <w:rFonts w:ascii="Arial" w:hAnsi="Arial" w:cs="Arial"/>
        </w:rPr>
      </w:pPr>
      <w:r w:rsidRPr="004F696F">
        <w:rPr>
          <w:rFonts w:ascii="Arial" w:hAnsi="Arial" w:cs="Arial"/>
          <w:b/>
          <w:bCs/>
        </w:rPr>
        <w:t> </w:t>
      </w:r>
    </w:p>
    <w:p w14:paraId="60FBC8B6" w14:textId="11369D58" w:rsidR="009E7BF9" w:rsidRPr="004F696F" w:rsidRDefault="009E7BF9" w:rsidP="009E7BF9">
      <w:pPr>
        <w:jc w:val="center"/>
        <w:rPr>
          <w:rFonts w:ascii="Arial" w:hAnsi="Arial" w:cs="Arial"/>
        </w:rPr>
      </w:pPr>
      <w:r w:rsidRPr="004F696F">
        <w:rPr>
          <w:rFonts w:ascii="Arial" w:hAnsi="Arial" w:cs="Arial"/>
          <w:b/>
          <w:bCs/>
          <w:u w:val="single"/>
        </w:rPr>
        <w:t>Right to Choose Service Referral and Medications for ADHD</w:t>
      </w:r>
    </w:p>
    <w:p w14:paraId="364FDAC4" w14:textId="77777777" w:rsidR="009E7BF9" w:rsidRPr="004F696F" w:rsidRDefault="009E7BF9" w:rsidP="009E7BF9">
      <w:pPr>
        <w:jc w:val="both"/>
        <w:rPr>
          <w:rFonts w:ascii="Arial" w:hAnsi="Arial" w:cs="Arial"/>
        </w:rPr>
      </w:pPr>
      <w:r w:rsidRPr="004F696F">
        <w:rPr>
          <w:rFonts w:ascii="Arial" w:hAnsi="Arial" w:cs="Arial"/>
        </w:rPr>
        <w:t> </w:t>
      </w:r>
    </w:p>
    <w:p w14:paraId="30885337" w14:textId="2697A870" w:rsidR="009E7BF9" w:rsidRPr="004F696F" w:rsidRDefault="009E7BF9" w:rsidP="009E7BF9">
      <w:pPr>
        <w:jc w:val="both"/>
        <w:rPr>
          <w:rFonts w:ascii="Arial" w:hAnsi="Arial" w:cs="Arial"/>
        </w:rPr>
      </w:pPr>
      <w:r w:rsidRPr="004F696F">
        <w:rPr>
          <w:rFonts w:ascii="Arial" w:hAnsi="Arial" w:cs="Arial"/>
        </w:rPr>
        <w:t xml:space="preserve">You have asked your GP to refer you for an ADHD/ASD assessment and/or treatment service provider under your ‘Right to Choose’ (RTC). Your GP will write the referral and provide it to you or send it directly to your nominated provider at your request. If you have any queries about the appointment, please contact the provider directly. </w:t>
      </w:r>
    </w:p>
    <w:p w14:paraId="78ED3FCA" w14:textId="77777777" w:rsidR="009E7BF9" w:rsidRPr="004F696F" w:rsidRDefault="009E7BF9" w:rsidP="009E7BF9">
      <w:pPr>
        <w:jc w:val="both"/>
        <w:rPr>
          <w:rFonts w:ascii="Arial" w:hAnsi="Arial" w:cs="Arial"/>
        </w:rPr>
      </w:pPr>
      <w:r w:rsidRPr="004F696F">
        <w:rPr>
          <w:rFonts w:ascii="Arial" w:hAnsi="Arial" w:cs="Arial"/>
        </w:rPr>
        <w:t> </w:t>
      </w:r>
    </w:p>
    <w:p w14:paraId="40B52E48" w14:textId="77777777" w:rsidR="009E7BF9" w:rsidRPr="004F696F" w:rsidRDefault="009E7BF9" w:rsidP="009E7BF9">
      <w:pPr>
        <w:jc w:val="both"/>
        <w:rPr>
          <w:rFonts w:ascii="Arial" w:hAnsi="Arial" w:cs="Arial"/>
        </w:rPr>
      </w:pPr>
      <w:r w:rsidRPr="004F696F">
        <w:rPr>
          <w:rFonts w:ascii="Arial" w:hAnsi="Arial" w:cs="Arial"/>
        </w:rPr>
        <w:t>Right to Choose Providers are usually private provider companies that hold an NHS contract with one or more NHS commissioners. When choosing a Right to Choose Provider it is important to consider the following points</w:t>
      </w:r>
    </w:p>
    <w:p w14:paraId="01BD4A6A" w14:textId="77777777" w:rsidR="009E7BF9" w:rsidRPr="004F696F" w:rsidRDefault="009E7BF9" w:rsidP="009E7BF9">
      <w:pPr>
        <w:jc w:val="both"/>
        <w:rPr>
          <w:rFonts w:ascii="Arial" w:hAnsi="Arial" w:cs="Arial"/>
        </w:rPr>
      </w:pPr>
      <w:r w:rsidRPr="004F696F">
        <w:rPr>
          <w:rFonts w:ascii="Arial" w:hAnsi="Arial" w:cs="Arial"/>
        </w:rPr>
        <w:t> </w:t>
      </w:r>
    </w:p>
    <w:p w14:paraId="55DC7835" w14:textId="77777777" w:rsidR="009E7BF9" w:rsidRPr="004F696F" w:rsidRDefault="009E7BF9" w:rsidP="009E7BF9">
      <w:pPr>
        <w:jc w:val="both"/>
        <w:rPr>
          <w:rFonts w:ascii="Arial" w:hAnsi="Arial" w:cs="Arial"/>
          <w:b/>
          <w:bCs/>
        </w:rPr>
      </w:pPr>
      <w:r w:rsidRPr="004F696F">
        <w:rPr>
          <w:rFonts w:ascii="Arial" w:hAnsi="Arial" w:cs="Arial"/>
          <w:b/>
          <w:bCs/>
          <w:u w:val="single"/>
        </w:rPr>
        <w:t>Choice</w:t>
      </w:r>
    </w:p>
    <w:p w14:paraId="405B2269" w14:textId="41F37E3E" w:rsidR="009E7BF9" w:rsidRPr="004F696F" w:rsidRDefault="009E7BF9" w:rsidP="009E7BF9">
      <w:pPr>
        <w:jc w:val="both"/>
        <w:rPr>
          <w:rFonts w:ascii="Arial" w:hAnsi="Arial" w:cs="Arial"/>
        </w:rPr>
      </w:pPr>
      <w:r w:rsidRPr="004F696F">
        <w:rPr>
          <w:rFonts w:ascii="Arial" w:hAnsi="Arial" w:cs="Arial"/>
        </w:rPr>
        <w:t xml:space="preserve">Your GP cannot choose for you. You need to research the options and make the choice yourself then contact your GP to inform them of your chosen provider and they will advise you on how to proceed. One point of reference for RTC providers is ADHD UK: </w:t>
      </w:r>
      <w:hyperlink r:id="rId5" w:history="1">
        <w:r w:rsidRPr="004F696F">
          <w:rPr>
            <w:rStyle w:val="Hyperlink"/>
            <w:rFonts w:ascii="Arial" w:hAnsi="Arial" w:cs="Arial"/>
            <w:color w:val="467886"/>
          </w:rPr>
          <w:t>https://adhduk.co.uk/</w:t>
        </w:r>
      </w:hyperlink>
    </w:p>
    <w:p w14:paraId="0343DC6E" w14:textId="77777777" w:rsidR="009E7BF9" w:rsidRPr="004F696F" w:rsidRDefault="009E7BF9" w:rsidP="009E7BF9">
      <w:pPr>
        <w:jc w:val="both"/>
        <w:rPr>
          <w:rFonts w:ascii="Arial" w:hAnsi="Arial" w:cs="Arial"/>
        </w:rPr>
      </w:pPr>
      <w:r w:rsidRPr="004F696F">
        <w:rPr>
          <w:rFonts w:ascii="Arial" w:hAnsi="Arial" w:cs="Arial"/>
        </w:rPr>
        <w:t> </w:t>
      </w:r>
    </w:p>
    <w:p w14:paraId="2A10D851" w14:textId="77777777" w:rsidR="009E7BF9" w:rsidRPr="004F696F" w:rsidRDefault="009E7BF9" w:rsidP="009E7BF9">
      <w:pPr>
        <w:jc w:val="both"/>
        <w:rPr>
          <w:rFonts w:ascii="Arial" w:hAnsi="Arial" w:cs="Arial"/>
          <w:b/>
          <w:bCs/>
        </w:rPr>
      </w:pPr>
      <w:r w:rsidRPr="004F696F">
        <w:rPr>
          <w:rFonts w:ascii="Arial" w:hAnsi="Arial" w:cs="Arial"/>
          <w:b/>
          <w:bCs/>
          <w:u w:val="single"/>
        </w:rPr>
        <w:t>Referral</w:t>
      </w:r>
    </w:p>
    <w:p w14:paraId="39E41D9B" w14:textId="634764C7" w:rsidR="009E7BF9" w:rsidRPr="004F696F" w:rsidRDefault="009E7BF9" w:rsidP="009E7BF9">
      <w:pPr>
        <w:jc w:val="both"/>
        <w:rPr>
          <w:rFonts w:ascii="Arial" w:hAnsi="Arial" w:cs="Arial"/>
        </w:rPr>
      </w:pPr>
      <w:r w:rsidRPr="004F696F">
        <w:rPr>
          <w:rFonts w:ascii="Arial" w:hAnsi="Arial" w:cs="Arial"/>
        </w:rPr>
        <w:t>The number of RTC providers is large and each provider may have its own referral process. It is not practical for your GP to complete a different referral process for every patient who chooses a different provider. Most providers need a core set of information so your GP may ask you to complete a questionnaire, and an ADHD self-assessment score as part of a standardised referral. If the provider needs additional information, they can request it from the practice or by asking you directly</w:t>
      </w:r>
    </w:p>
    <w:p w14:paraId="7F50846B" w14:textId="77777777" w:rsidR="009E7BF9" w:rsidRPr="004F696F" w:rsidRDefault="009E7BF9" w:rsidP="009E7BF9">
      <w:pPr>
        <w:jc w:val="both"/>
        <w:rPr>
          <w:rFonts w:ascii="Arial" w:hAnsi="Arial" w:cs="Arial"/>
        </w:rPr>
      </w:pPr>
      <w:r w:rsidRPr="004F696F">
        <w:rPr>
          <w:rFonts w:ascii="Arial" w:hAnsi="Arial" w:cs="Arial"/>
        </w:rPr>
        <w:t> </w:t>
      </w:r>
    </w:p>
    <w:p w14:paraId="4EF4F727" w14:textId="77777777" w:rsidR="009E7BF9" w:rsidRPr="004F696F" w:rsidRDefault="009E7BF9" w:rsidP="009E7BF9">
      <w:pPr>
        <w:jc w:val="both"/>
        <w:rPr>
          <w:rFonts w:ascii="Arial" w:hAnsi="Arial" w:cs="Arial"/>
          <w:b/>
          <w:bCs/>
        </w:rPr>
      </w:pPr>
      <w:r w:rsidRPr="004F696F">
        <w:rPr>
          <w:rFonts w:ascii="Arial" w:hAnsi="Arial" w:cs="Arial"/>
          <w:b/>
          <w:bCs/>
          <w:u w:val="single"/>
        </w:rPr>
        <w:t>Diagnosis and follow-up</w:t>
      </w:r>
    </w:p>
    <w:p w14:paraId="5B789A6E" w14:textId="4D6E4DBA" w:rsidR="009E7BF9" w:rsidRPr="004F696F" w:rsidRDefault="009E7BF9" w:rsidP="009E7BF9">
      <w:pPr>
        <w:jc w:val="both"/>
        <w:rPr>
          <w:rFonts w:ascii="Arial" w:hAnsi="Arial" w:cs="Arial"/>
        </w:rPr>
      </w:pPr>
      <w:r w:rsidRPr="004F696F">
        <w:rPr>
          <w:rFonts w:ascii="Arial" w:hAnsi="Arial" w:cs="Arial"/>
        </w:rPr>
        <w:t>Most RTC providers exclusively perform remote and/or online assessments and the local NHS ADHD services may not have sufficient confidence in these diagnostic processes to accept their diagnoses. They may not take over your care unless they have completed their own assessment and diagnostic process. Therefore, your diagnosis may not be universally accepted, and you may find you cannot seek treatment and follow-up directly with local services following an RTC diagnosis.</w:t>
      </w:r>
    </w:p>
    <w:p w14:paraId="3CC944F4" w14:textId="77777777" w:rsidR="009E7BF9" w:rsidRPr="004F696F" w:rsidRDefault="009E7BF9" w:rsidP="009E7BF9">
      <w:pPr>
        <w:jc w:val="both"/>
        <w:rPr>
          <w:rFonts w:ascii="Arial" w:hAnsi="Arial" w:cs="Arial"/>
        </w:rPr>
      </w:pPr>
      <w:r w:rsidRPr="004F696F">
        <w:rPr>
          <w:rFonts w:ascii="Arial" w:hAnsi="Arial" w:cs="Arial"/>
        </w:rPr>
        <w:t> </w:t>
      </w:r>
    </w:p>
    <w:p w14:paraId="10671A10" w14:textId="1BA6B952" w:rsidR="009E7BF9" w:rsidRPr="004F696F" w:rsidRDefault="009E7BF9" w:rsidP="009E7BF9">
      <w:pPr>
        <w:jc w:val="both"/>
        <w:rPr>
          <w:rFonts w:ascii="Arial" w:hAnsi="Arial" w:cs="Arial"/>
          <w:b/>
          <w:bCs/>
        </w:rPr>
      </w:pPr>
      <w:r w:rsidRPr="004F696F">
        <w:rPr>
          <w:rFonts w:ascii="Arial" w:hAnsi="Arial" w:cs="Arial"/>
          <w:b/>
          <w:bCs/>
          <w:u w:val="single"/>
        </w:rPr>
        <w:t>Prescriptions</w:t>
      </w:r>
    </w:p>
    <w:p w14:paraId="12D6E2E7" w14:textId="1D4A6FA2" w:rsidR="009E7BF9" w:rsidRPr="004F696F" w:rsidRDefault="009E7BF9" w:rsidP="009E7BF9">
      <w:pPr>
        <w:jc w:val="both"/>
        <w:rPr>
          <w:rFonts w:ascii="Arial" w:hAnsi="Arial" w:cs="Arial"/>
        </w:rPr>
      </w:pPr>
      <w:r w:rsidRPr="004F696F">
        <w:rPr>
          <w:rFonts w:ascii="Arial" w:hAnsi="Arial" w:cs="Arial"/>
        </w:rPr>
        <w:t xml:space="preserve">If you are diagnosed with </w:t>
      </w:r>
      <w:proofErr w:type="gramStart"/>
      <w:r w:rsidRPr="004F696F">
        <w:rPr>
          <w:rFonts w:ascii="Arial" w:hAnsi="Arial" w:cs="Arial"/>
        </w:rPr>
        <w:t>ADHD</w:t>
      </w:r>
      <w:proofErr w:type="gramEnd"/>
      <w:r w:rsidRPr="004F696F">
        <w:rPr>
          <w:rFonts w:ascii="Arial" w:hAnsi="Arial" w:cs="Arial"/>
        </w:rPr>
        <w:t xml:space="preserve"> the RTC provider may suggest medications for you. The medications used for ADHD are restricted so that GPs cannot routinely prescribe them. The specialist service is responsible for prescribing them. They can request that your GP prescribes them under an agreement called a ‘shared care agreement’ but it is unlikely that your GP will be able to enter into this agreement for reasons of patient safety and resources. It is not safe for GPs to try to keep up with so many providers, each with their own contact details and processes when prescribing such safety critical medications.</w:t>
      </w:r>
    </w:p>
    <w:p w14:paraId="58CB700A" w14:textId="77777777" w:rsidR="009E7BF9" w:rsidRPr="004F696F" w:rsidRDefault="009E7BF9" w:rsidP="009E7BF9">
      <w:pPr>
        <w:jc w:val="both"/>
        <w:rPr>
          <w:rFonts w:ascii="Arial" w:hAnsi="Arial" w:cs="Arial"/>
        </w:rPr>
      </w:pPr>
      <w:r w:rsidRPr="004F696F">
        <w:rPr>
          <w:rFonts w:ascii="Arial" w:hAnsi="Arial" w:cs="Arial"/>
        </w:rPr>
        <w:t> </w:t>
      </w:r>
    </w:p>
    <w:p w14:paraId="0F960B59" w14:textId="77777777" w:rsidR="009E7BF9" w:rsidRPr="004F696F" w:rsidRDefault="009E7BF9" w:rsidP="009E7BF9">
      <w:pPr>
        <w:jc w:val="both"/>
        <w:rPr>
          <w:rFonts w:ascii="Arial" w:hAnsi="Arial" w:cs="Arial"/>
        </w:rPr>
      </w:pPr>
      <w:r w:rsidRPr="004F696F">
        <w:rPr>
          <w:rFonts w:ascii="Arial" w:hAnsi="Arial" w:cs="Arial"/>
        </w:rPr>
        <w:t>Due to the nature of RTC providers, if the business stops trading for any reason or if they have their NHS contract removed then their care, and any prescriptions would more than likely cease which is another reason your GP may not feel it is safe, or good practice to enter into an agreement to prescribe for them.</w:t>
      </w:r>
    </w:p>
    <w:p w14:paraId="0A3E1566" w14:textId="77777777" w:rsidR="009E7BF9" w:rsidRPr="004F696F" w:rsidRDefault="009E7BF9" w:rsidP="009E7BF9">
      <w:pPr>
        <w:jc w:val="both"/>
        <w:rPr>
          <w:rFonts w:ascii="Arial" w:hAnsi="Arial" w:cs="Arial"/>
        </w:rPr>
      </w:pPr>
      <w:r w:rsidRPr="004F696F">
        <w:rPr>
          <w:rFonts w:ascii="Arial" w:hAnsi="Arial" w:cs="Arial"/>
        </w:rPr>
        <w:t> </w:t>
      </w:r>
    </w:p>
    <w:p w14:paraId="0AC7A926" w14:textId="52C3E623" w:rsidR="009E7BF9" w:rsidRPr="004F696F" w:rsidRDefault="009E7BF9" w:rsidP="009E7BF9">
      <w:pPr>
        <w:jc w:val="both"/>
        <w:rPr>
          <w:rFonts w:ascii="Arial" w:hAnsi="Arial" w:cs="Arial"/>
        </w:rPr>
      </w:pPr>
      <w:r w:rsidRPr="004F696F">
        <w:rPr>
          <w:rFonts w:ascii="Arial" w:hAnsi="Arial" w:cs="Arial"/>
        </w:rPr>
        <w:t xml:space="preserve">When you are choosing your RTC provider you may find it useful to use this information to support your decision making </w:t>
      </w:r>
      <w:proofErr w:type="gramStart"/>
      <w:r w:rsidRPr="004F696F">
        <w:rPr>
          <w:rFonts w:ascii="Arial" w:hAnsi="Arial" w:cs="Arial"/>
        </w:rPr>
        <w:t>and also</w:t>
      </w:r>
      <w:proofErr w:type="gramEnd"/>
      <w:r w:rsidRPr="004F696F">
        <w:rPr>
          <w:rFonts w:ascii="Arial" w:hAnsi="Arial" w:cs="Arial"/>
        </w:rPr>
        <w:t xml:space="preserve"> to share with your chosen provider so that they are aware that their duty in prescribing is unlikely to be taken over by your GP.</w:t>
      </w:r>
    </w:p>
    <w:p w14:paraId="28B0C809" w14:textId="77777777" w:rsidR="009E7BF9" w:rsidRPr="004F696F" w:rsidRDefault="009E7BF9" w:rsidP="009E7BF9">
      <w:pPr>
        <w:jc w:val="both"/>
        <w:rPr>
          <w:rFonts w:ascii="Arial" w:hAnsi="Arial" w:cs="Arial"/>
        </w:rPr>
      </w:pPr>
      <w:r w:rsidRPr="004F696F">
        <w:rPr>
          <w:rFonts w:ascii="Arial" w:hAnsi="Arial" w:cs="Arial"/>
        </w:rPr>
        <w:lastRenderedPageBreak/>
        <w:t> </w:t>
      </w:r>
    </w:p>
    <w:p w14:paraId="20F6C1B6" w14:textId="77777777" w:rsidR="009E7BF9" w:rsidRPr="004F696F" w:rsidRDefault="009E7BF9" w:rsidP="009E7BF9">
      <w:pPr>
        <w:jc w:val="both"/>
        <w:rPr>
          <w:rFonts w:ascii="Arial" w:hAnsi="Arial" w:cs="Arial"/>
        </w:rPr>
      </w:pPr>
      <w:r w:rsidRPr="004F696F">
        <w:rPr>
          <w:rFonts w:ascii="Arial" w:hAnsi="Arial" w:cs="Arial"/>
        </w:rPr>
        <w:t> </w:t>
      </w:r>
    </w:p>
    <w:p w14:paraId="35721EB0" w14:textId="2D1D21D6" w:rsidR="009E7BF9" w:rsidRPr="004F696F" w:rsidRDefault="009E7BF9" w:rsidP="009E7BF9">
      <w:pPr>
        <w:jc w:val="both"/>
        <w:rPr>
          <w:rFonts w:ascii="Arial" w:hAnsi="Arial" w:cs="Arial"/>
          <w:b/>
          <w:bCs/>
        </w:rPr>
      </w:pPr>
      <w:r w:rsidRPr="004F696F">
        <w:rPr>
          <w:rFonts w:ascii="Arial" w:hAnsi="Arial" w:cs="Arial"/>
          <w:b/>
          <w:bCs/>
        </w:rPr>
        <w:t>Response from our clinical pharmacist.</w:t>
      </w:r>
    </w:p>
    <w:p w14:paraId="2688428B" w14:textId="5E04BF7E" w:rsidR="009E7BF9" w:rsidRPr="004F696F" w:rsidRDefault="009E7BF9" w:rsidP="009E7BF9">
      <w:pPr>
        <w:rPr>
          <w:rFonts w:ascii="Arial" w:hAnsi="Arial" w:cs="Arial"/>
        </w:rPr>
      </w:pPr>
      <w:r w:rsidRPr="004F696F">
        <w:rPr>
          <w:rFonts w:ascii="Arial" w:hAnsi="Arial" w:cs="Arial"/>
        </w:rPr>
        <w:t xml:space="preserve">We must confirm that our practice does </w:t>
      </w:r>
      <w:r w:rsidRPr="004F696F">
        <w:rPr>
          <w:rFonts w:ascii="Arial" w:hAnsi="Arial" w:cs="Arial"/>
          <w:b/>
          <w:bCs/>
        </w:rPr>
        <w:t>not</w:t>
      </w:r>
      <w:r w:rsidRPr="004F696F">
        <w:rPr>
          <w:rFonts w:ascii="Arial" w:hAnsi="Arial" w:cs="Arial"/>
        </w:rPr>
        <w:t xml:space="preserve"> accept shared care arrangements from Right to Choose ADHD clinics. This is in line with our practice policy and local prescribing guidance.</w:t>
      </w:r>
    </w:p>
    <w:p w14:paraId="546DA483" w14:textId="77777777" w:rsidR="009E7BF9" w:rsidRPr="004F696F" w:rsidRDefault="009E7BF9" w:rsidP="009E7BF9">
      <w:pPr>
        <w:rPr>
          <w:rFonts w:ascii="Arial" w:hAnsi="Arial" w:cs="Arial"/>
        </w:rPr>
      </w:pPr>
      <w:r w:rsidRPr="004F696F">
        <w:rPr>
          <w:rFonts w:ascii="Arial" w:hAnsi="Arial" w:cs="Arial"/>
        </w:rPr>
        <w:t xml:space="preserve">There are significant </w:t>
      </w:r>
      <w:r w:rsidRPr="004F696F">
        <w:rPr>
          <w:rFonts w:ascii="Arial" w:hAnsi="Arial" w:cs="Arial"/>
          <w:b/>
          <w:bCs/>
        </w:rPr>
        <w:t>clinical and governance risks</w:t>
      </w:r>
      <w:r w:rsidRPr="004F696F">
        <w:rPr>
          <w:rFonts w:ascii="Arial" w:hAnsi="Arial" w:cs="Arial"/>
        </w:rPr>
        <w:t xml:space="preserve"> associated with accepting shared care from these providers, including:</w:t>
      </w:r>
    </w:p>
    <w:p w14:paraId="0D4D2383" w14:textId="77777777" w:rsidR="009E7BF9" w:rsidRPr="004F696F" w:rsidRDefault="009E7BF9" w:rsidP="009E7BF9">
      <w:pPr>
        <w:numPr>
          <w:ilvl w:val="0"/>
          <w:numId w:val="1"/>
        </w:numPr>
        <w:rPr>
          <w:rFonts w:ascii="Arial" w:eastAsia="Times New Roman" w:hAnsi="Arial" w:cs="Arial"/>
        </w:rPr>
      </w:pPr>
      <w:r w:rsidRPr="004F696F">
        <w:rPr>
          <w:rFonts w:ascii="Arial" w:eastAsia="Times New Roman" w:hAnsi="Arial" w:cs="Arial"/>
          <w:b/>
          <w:bCs/>
        </w:rPr>
        <w:t>Lack of continuity of care:</w:t>
      </w:r>
      <w:r w:rsidRPr="004F696F">
        <w:rPr>
          <w:rFonts w:ascii="Arial" w:eastAsia="Times New Roman" w:hAnsi="Arial" w:cs="Arial"/>
        </w:rPr>
        <w:t xml:space="preserve"> Private or outsourced clinics may not always communicate full assessment details, titration plans, or monitoring arrangements to the GP, making safe prescribing difficult.</w:t>
      </w:r>
    </w:p>
    <w:p w14:paraId="63581DF9" w14:textId="141EEEEF" w:rsidR="009E7BF9" w:rsidRPr="004F696F" w:rsidRDefault="009E7BF9" w:rsidP="009E7BF9">
      <w:pPr>
        <w:numPr>
          <w:ilvl w:val="0"/>
          <w:numId w:val="1"/>
        </w:numPr>
        <w:rPr>
          <w:rFonts w:ascii="Arial" w:eastAsia="Times New Roman" w:hAnsi="Arial" w:cs="Arial"/>
        </w:rPr>
      </w:pPr>
      <w:r w:rsidRPr="004F696F">
        <w:rPr>
          <w:rFonts w:ascii="Arial" w:eastAsia="Times New Roman" w:hAnsi="Arial" w:cs="Arial"/>
          <w:b/>
          <w:bCs/>
        </w:rPr>
        <w:t>Variability in prescribing standards:</w:t>
      </w:r>
      <w:r w:rsidRPr="004F696F">
        <w:rPr>
          <w:rFonts w:ascii="Arial" w:eastAsia="Times New Roman" w:hAnsi="Arial" w:cs="Arial"/>
        </w:rPr>
        <w:t xml:space="preserve"> Some private ADHDD clinics have been found to prescribe outside of local or national guidelines, which increases the risk of inappropriate treatment.</w:t>
      </w:r>
    </w:p>
    <w:p w14:paraId="4682BAF0" w14:textId="77777777" w:rsidR="009E7BF9" w:rsidRPr="004F696F" w:rsidRDefault="009E7BF9" w:rsidP="009E7BF9">
      <w:pPr>
        <w:numPr>
          <w:ilvl w:val="0"/>
          <w:numId w:val="1"/>
        </w:numPr>
        <w:rPr>
          <w:rFonts w:ascii="Arial" w:eastAsia="Times New Roman" w:hAnsi="Arial" w:cs="Arial"/>
        </w:rPr>
      </w:pPr>
      <w:r w:rsidRPr="004F696F">
        <w:rPr>
          <w:rFonts w:ascii="Arial" w:eastAsia="Times New Roman" w:hAnsi="Arial" w:cs="Arial"/>
          <w:b/>
          <w:bCs/>
        </w:rPr>
        <w:t>Medicolegal responsibility:</w:t>
      </w:r>
      <w:r w:rsidRPr="004F696F">
        <w:rPr>
          <w:rFonts w:ascii="Arial" w:eastAsia="Times New Roman" w:hAnsi="Arial" w:cs="Arial"/>
        </w:rPr>
        <w:t xml:space="preserve"> Once a prescription is issued by the GP, legal responsibility for that prescribing decision lies with the GP, even if the treatment was initiated elsewhere. Without confidence in the robustness of the assessment and follow-up, this creates unacceptable clinical risk.</w:t>
      </w:r>
    </w:p>
    <w:p w14:paraId="204A6F18" w14:textId="77F28578" w:rsidR="009E7BF9" w:rsidRPr="004F696F" w:rsidRDefault="009E7BF9" w:rsidP="009E7BF9">
      <w:pPr>
        <w:numPr>
          <w:ilvl w:val="0"/>
          <w:numId w:val="1"/>
        </w:numPr>
        <w:rPr>
          <w:rFonts w:ascii="Arial" w:eastAsia="Times New Roman" w:hAnsi="Arial" w:cs="Arial"/>
        </w:rPr>
      </w:pPr>
      <w:r w:rsidRPr="004F696F">
        <w:rPr>
          <w:rFonts w:ascii="Arial" w:eastAsia="Times New Roman" w:hAnsi="Arial" w:cs="Arial"/>
          <w:b/>
          <w:bCs/>
        </w:rPr>
        <w:t>Monitoring and safety concerns:</w:t>
      </w:r>
      <w:r w:rsidRPr="004F696F">
        <w:rPr>
          <w:rFonts w:ascii="Arial" w:eastAsia="Times New Roman" w:hAnsi="Arial" w:cs="Arial"/>
        </w:rPr>
        <w:t xml:space="preserve"> ADHD medication requires regular monitoring of cardiovascular health, weight, and mental health. If the clinic does not provide this or fails to communicate results, patient safety could be compromised.</w:t>
      </w:r>
    </w:p>
    <w:p w14:paraId="6294A064" w14:textId="10901BF5" w:rsidR="009E7BF9" w:rsidRPr="004F696F" w:rsidRDefault="009E7BF9" w:rsidP="009E7BF9">
      <w:pPr>
        <w:rPr>
          <w:rFonts w:ascii="Arial" w:hAnsi="Arial" w:cs="Arial"/>
        </w:rPr>
      </w:pPr>
      <w:r w:rsidRPr="004F696F">
        <w:rPr>
          <w:rFonts w:ascii="Arial" w:hAnsi="Arial" w:cs="Arial"/>
        </w:rPr>
        <w:t>For these reasons, prescriptions initiated through Right to Choose ADHD clinics must be continued privately through the clinic that initiated treatment, as we are unable to assume responsibility for prescribing or monitoring in these circumstances.</w:t>
      </w:r>
    </w:p>
    <w:p w14:paraId="16C1652E" w14:textId="77777777" w:rsidR="009E7BF9" w:rsidRPr="004F696F" w:rsidRDefault="009E7BF9" w:rsidP="009E7BF9">
      <w:pPr>
        <w:rPr>
          <w:rFonts w:ascii="Arial" w:hAnsi="Arial" w:cs="Arial"/>
        </w:rPr>
      </w:pPr>
      <w:r w:rsidRPr="004F696F">
        <w:rPr>
          <w:rFonts w:ascii="Arial" w:hAnsi="Arial" w:cs="Arial"/>
        </w:rPr>
        <w:t>You remain welcome to access all other aspects of NHS care through our practice.</w:t>
      </w:r>
    </w:p>
    <w:p w14:paraId="7ADA10C3" w14:textId="46D5F161" w:rsidR="009E7BF9" w:rsidRPr="004F696F" w:rsidRDefault="009E7BF9" w:rsidP="009E7BF9">
      <w:pPr>
        <w:rPr>
          <w:rFonts w:ascii="Arial" w:hAnsi="Arial" w:cs="Arial"/>
        </w:rPr>
      </w:pPr>
      <w:r w:rsidRPr="004F696F">
        <w:rPr>
          <w:rFonts w:ascii="Arial" w:hAnsi="Arial" w:cs="Arial"/>
        </w:rPr>
        <w:t>If you would like to pursue ADHD assessment and treatment within the NHS, we can provide details of the local referral process.</w:t>
      </w:r>
    </w:p>
    <w:p w14:paraId="1AC21363" w14:textId="77777777" w:rsidR="009E7BF9" w:rsidRPr="004F696F" w:rsidRDefault="009E7BF9" w:rsidP="009E7BF9">
      <w:pPr>
        <w:rPr>
          <w:rFonts w:ascii="Arial" w:hAnsi="Arial" w:cs="Arial"/>
        </w:rPr>
      </w:pPr>
    </w:p>
    <w:p w14:paraId="226E6AE6" w14:textId="77777777" w:rsidR="009E7BF9" w:rsidRDefault="009E7BF9" w:rsidP="009E7BF9">
      <w:r w:rsidRPr="004F696F">
        <w:rPr>
          <w:rFonts w:ascii="Arial" w:hAnsi="Arial" w:cs="Arial"/>
        </w:rPr>
        <w:t>Thank you for your understanding.</w:t>
      </w:r>
    </w:p>
    <w:p w14:paraId="52FAD754" w14:textId="77777777" w:rsidR="004F696F" w:rsidRDefault="004F696F" w:rsidP="009E7BF9"/>
    <w:p w14:paraId="5FE44B60" w14:textId="77777777" w:rsidR="004F696F" w:rsidRDefault="004F696F" w:rsidP="004F696F"/>
    <w:p w14:paraId="0866AD92" w14:textId="6C95FC52" w:rsidR="004F696F" w:rsidRPr="004F696F" w:rsidRDefault="004F696F" w:rsidP="004F696F">
      <w:pPr>
        <w:rPr>
          <w:rFonts w:ascii="Arial" w:hAnsi="Arial" w:cs="Arial"/>
          <w:b/>
          <w:bCs/>
        </w:rPr>
      </w:pPr>
      <w:r w:rsidRPr="004F696F">
        <w:rPr>
          <w:rFonts w:ascii="Arial" w:hAnsi="Arial" w:cs="Arial"/>
          <w:b/>
          <w:bCs/>
        </w:rPr>
        <w:t>Following guidance from the BMA</w:t>
      </w:r>
      <w:r w:rsidRPr="004F696F">
        <w:rPr>
          <w:rFonts w:ascii="Arial" w:hAnsi="Arial" w:cs="Arial"/>
          <w:b/>
          <w:bCs/>
        </w:rPr>
        <w:t>/</w:t>
      </w:r>
      <w:r w:rsidRPr="004F696F">
        <w:rPr>
          <w:rFonts w:ascii="Arial" w:hAnsi="Arial" w:cs="Arial"/>
          <w:b/>
          <w:bCs/>
        </w:rPr>
        <w:t>LMC. The BMA advises that:</w:t>
      </w:r>
    </w:p>
    <w:p w14:paraId="3BF5CF9B" w14:textId="77777777" w:rsidR="004F696F" w:rsidRPr="004F696F" w:rsidRDefault="004F696F" w:rsidP="004F696F">
      <w:pPr>
        <w:rPr>
          <w:rFonts w:ascii="Arial" w:hAnsi="Arial" w:cs="Arial"/>
          <w:b/>
          <w:bCs/>
        </w:rPr>
      </w:pPr>
    </w:p>
    <w:p w14:paraId="661D77EE" w14:textId="77777777" w:rsidR="004F696F" w:rsidRDefault="004F696F" w:rsidP="004F696F">
      <w:pPr>
        <w:rPr>
          <w:rFonts w:ascii="Arial" w:hAnsi="Arial" w:cs="Arial"/>
        </w:rPr>
      </w:pPr>
      <w:r w:rsidRPr="004F696F">
        <w:rPr>
          <w:rFonts w:ascii="Arial" w:hAnsi="Arial" w:cs="Arial"/>
        </w:rPr>
        <w:t xml:space="preserve">Shared Care with private providers is not recommended due to the general NHS constitution principle of keeping as clear a separation as possible between private and NHS care. Shared Care is currently set up as an NHS service, and </w:t>
      </w:r>
      <w:proofErr w:type="gramStart"/>
      <w:r w:rsidRPr="004F696F">
        <w:rPr>
          <w:rFonts w:ascii="Arial" w:hAnsi="Arial" w:cs="Arial"/>
        </w:rPr>
        <w:t>entering into</w:t>
      </w:r>
      <w:proofErr w:type="gramEnd"/>
      <w:r w:rsidRPr="004F696F">
        <w:rPr>
          <w:rFonts w:ascii="Arial" w:hAnsi="Arial" w:cs="Arial"/>
        </w:rPr>
        <w:t xml:space="preserve"> a shared care arrangement may have implications around governance and quality assurance as well as promoting health inequalities. A private patient seeking access to shared care should therefore have their care completely transferred to the NHS. Shared care may be appropriate where private providers are providing commissioned NHS services and where appropriate shared care arrangements are in place.</w:t>
      </w:r>
    </w:p>
    <w:p w14:paraId="794463A2" w14:textId="77777777" w:rsidR="004F696F" w:rsidRPr="004F696F" w:rsidRDefault="004F696F" w:rsidP="004F696F">
      <w:pPr>
        <w:ind w:left="360"/>
        <w:rPr>
          <w:rFonts w:ascii="Arial" w:hAnsi="Arial" w:cs="Arial"/>
        </w:rPr>
      </w:pPr>
    </w:p>
    <w:p w14:paraId="138EC0A7" w14:textId="77777777" w:rsidR="004F696F" w:rsidRPr="004F696F" w:rsidRDefault="004F696F" w:rsidP="004F696F">
      <w:pPr>
        <w:rPr>
          <w:rFonts w:ascii="Arial" w:hAnsi="Arial" w:cs="Arial"/>
        </w:rPr>
      </w:pPr>
      <w:r w:rsidRPr="004F696F">
        <w:rPr>
          <w:rFonts w:ascii="Arial" w:hAnsi="Arial" w:cs="Arial"/>
        </w:rPr>
        <w:t>All shared care arrangements are voluntary, so even where agreements are in place, practices can decline shared care requests on clinical and capacity grounds. The responsibility for the patient’s care and ongoing prescribing then remains the responsibility of the private provider.</w:t>
      </w:r>
    </w:p>
    <w:p w14:paraId="4CD76785" w14:textId="77777777" w:rsidR="004F696F" w:rsidRPr="004F696F" w:rsidRDefault="004F696F" w:rsidP="004F696F">
      <w:pPr>
        <w:jc w:val="both"/>
        <w:rPr>
          <w:rFonts w:ascii="Arial" w:hAnsi="Arial" w:cs="Arial"/>
        </w:rPr>
      </w:pPr>
    </w:p>
    <w:p w14:paraId="02128758" w14:textId="77777777" w:rsidR="00781AB3" w:rsidRPr="004F696F" w:rsidRDefault="00781AB3" w:rsidP="004F696F">
      <w:pPr>
        <w:jc w:val="both"/>
        <w:rPr>
          <w:rFonts w:ascii="Arial" w:hAnsi="Arial" w:cs="Arial"/>
        </w:rPr>
      </w:pPr>
    </w:p>
    <w:sectPr w:rsidR="00781AB3" w:rsidRPr="004F696F" w:rsidSect="004F696F">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800CB"/>
    <w:multiLevelType w:val="multilevel"/>
    <w:tmpl w:val="3D484E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7A34026"/>
    <w:multiLevelType w:val="hybridMultilevel"/>
    <w:tmpl w:val="7592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D476D7"/>
    <w:multiLevelType w:val="multilevel"/>
    <w:tmpl w:val="A9D4B6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39451561">
    <w:abstractNumId w:val="2"/>
  </w:num>
  <w:num w:numId="2" w16cid:durableId="1543709280">
    <w:abstractNumId w:val="0"/>
  </w:num>
  <w:num w:numId="3" w16cid:durableId="91385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F9"/>
    <w:rsid w:val="00222CFC"/>
    <w:rsid w:val="004F696F"/>
    <w:rsid w:val="00781AB3"/>
    <w:rsid w:val="009E7BF9"/>
    <w:rsid w:val="00C33B46"/>
    <w:rsid w:val="00EA2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4040"/>
  <w15:chartTrackingRefBased/>
  <w15:docId w15:val="{39624FC1-4A3D-4807-BD9B-4C7ABDA8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BF9"/>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E7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BF9"/>
    <w:rPr>
      <w:rFonts w:eastAsiaTheme="majorEastAsia" w:cstheme="majorBidi"/>
      <w:color w:val="272727" w:themeColor="text1" w:themeTint="D8"/>
    </w:rPr>
  </w:style>
  <w:style w:type="paragraph" w:styleId="Title">
    <w:name w:val="Title"/>
    <w:basedOn w:val="Normal"/>
    <w:next w:val="Normal"/>
    <w:link w:val="TitleChar"/>
    <w:uiPriority w:val="10"/>
    <w:qFormat/>
    <w:rsid w:val="009E7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BF9"/>
    <w:pPr>
      <w:spacing w:before="160"/>
      <w:jc w:val="center"/>
    </w:pPr>
    <w:rPr>
      <w:i/>
      <w:iCs/>
      <w:color w:val="404040" w:themeColor="text1" w:themeTint="BF"/>
    </w:rPr>
  </w:style>
  <w:style w:type="character" w:customStyle="1" w:styleId="QuoteChar">
    <w:name w:val="Quote Char"/>
    <w:basedOn w:val="DefaultParagraphFont"/>
    <w:link w:val="Quote"/>
    <w:uiPriority w:val="29"/>
    <w:rsid w:val="009E7BF9"/>
    <w:rPr>
      <w:i/>
      <w:iCs/>
      <w:color w:val="404040" w:themeColor="text1" w:themeTint="BF"/>
    </w:rPr>
  </w:style>
  <w:style w:type="paragraph" w:styleId="ListParagraph">
    <w:name w:val="List Paragraph"/>
    <w:basedOn w:val="Normal"/>
    <w:uiPriority w:val="34"/>
    <w:qFormat/>
    <w:rsid w:val="009E7BF9"/>
    <w:pPr>
      <w:ind w:left="720"/>
      <w:contextualSpacing/>
    </w:pPr>
  </w:style>
  <w:style w:type="character" w:styleId="IntenseEmphasis">
    <w:name w:val="Intense Emphasis"/>
    <w:basedOn w:val="DefaultParagraphFont"/>
    <w:uiPriority w:val="21"/>
    <w:qFormat/>
    <w:rsid w:val="009E7BF9"/>
    <w:rPr>
      <w:i/>
      <w:iCs/>
      <w:color w:val="0F4761" w:themeColor="accent1" w:themeShade="BF"/>
    </w:rPr>
  </w:style>
  <w:style w:type="paragraph" w:styleId="IntenseQuote">
    <w:name w:val="Intense Quote"/>
    <w:basedOn w:val="Normal"/>
    <w:next w:val="Normal"/>
    <w:link w:val="IntenseQuoteChar"/>
    <w:uiPriority w:val="30"/>
    <w:qFormat/>
    <w:rsid w:val="009E7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BF9"/>
    <w:rPr>
      <w:i/>
      <w:iCs/>
      <w:color w:val="0F4761" w:themeColor="accent1" w:themeShade="BF"/>
    </w:rPr>
  </w:style>
  <w:style w:type="character" w:styleId="IntenseReference">
    <w:name w:val="Intense Reference"/>
    <w:basedOn w:val="DefaultParagraphFont"/>
    <w:uiPriority w:val="32"/>
    <w:qFormat/>
    <w:rsid w:val="009E7BF9"/>
    <w:rPr>
      <w:b/>
      <w:bCs/>
      <w:smallCaps/>
      <w:color w:val="0F4761" w:themeColor="accent1" w:themeShade="BF"/>
      <w:spacing w:val="5"/>
    </w:rPr>
  </w:style>
  <w:style w:type="character" w:styleId="Hyperlink">
    <w:name w:val="Hyperlink"/>
    <w:basedOn w:val="DefaultParagraphFont"/>
    <w:uiPriority w:val="99"/>
    <w:semiHidden/>
    <w:unhideWhenUsed/>
    <w:rsid w:val="009E7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br01.safelinks.protection.outlook.com/?url=https%3A%2F%2Fadhduk.co.uk%2F&amp;data=05%7C02%7Cmaynardcourt.surgerycomplaints%40nhs.net%7C004782a876984eedf45108de04b237d4%7C37c354b285b047f5b22207b48d774ee3%7C0%7C0%7C638953360697282751%7CUnknown%7CTWFpbGZsb3d8eyJFbXB0eU1hcGkiOnRydWUsIlYiOiIwLjAuMDAwMCIsIlAiOiJXaW4zMiIsIkFOIjoiTWFpbCIsIldUIjoyfQ%3D%3D%7C0%7C%7C%7C&amp;sdata=lOVar14vl%2F6SfqgxcK2ONaqBgidbBrpRS3BRlQxumLM%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Samantha (MAYNARD COURT SURGERY)</dc:creator>
  <cp:keywords/>
  <dc:description/>
  <cp:lastModifiedBy>ROBERTS, Samantha (MAYNARD COURT SURGERY)</cp:lastModifiedBy>
  <cp:revision>2</cp:revision>
  <dcterms:created xsi:type="dcterms:W3CDTF">2026-01-23T11:11:00Z</dcterms:created>
  <dcterms:modified xsi:type="dcterms:W3CDTF">2026-01-23T11:37:00Z</dcterms:modified>
</cp:coreProperties>
</file>